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6CDD" w14:textId="77777777" w:rsidR="00994C3D" w:rsidRDefault="00994C3D" w:rsidP="00994C3D">
      <w:pPr>
        <w:contextualSpacing/>
        <w:rPr>
          <w:rFonts w:ascii="Times New Roman" w:hAnsi="Times New Roman" w:cs="Times New Roman"/>
          <w:b/>
          <w:bCs/>
          <w:i/>
          <w:iCs/>
          <w:sz w:val="28"/>
          <w:szCs w:val="28"/>
        </w:rPr>
      </w:pPr>
    </w:p>
    <w:p w14:paraId="436971DD" w14:textId="485E2B99" w:rsidR="00591A1C" w:rsidRPr="00994C3D" w:rsidRDefault="00591A1C" w:rsidP="00994C3D">
      <w:pPr>
        <w:contextualSpacing/>
        <w:rPr>
          <w:rFonts w:ascii="Times New Roman" w:hAnsi="Times New Roman" w:cs="Times New Roman"/>
          <w:b/>
          <w:bCs/>
          <w:i/>
          <w:iCs/>
          <w:sz w:val="28"/>
          <w:szCs w:val="28"/>
        </w:rPr>
      </w:pPr>
      <w:r w:rsidRPr="00994C3D">
        <w:rPr>
          <w:rFonts w:ascii="Times New Roman" w:hAnsi="Times New Roman" w:cs="Times New Roman"/>
          <w:b/>
          <w:bCs/>
          <w:i/>
          <w:iCs/>
          <w:sz w:val="28"/>
          <w:szCs w:val="28"/>
        </w:rPr>
        <w:t xml:space="preserve">Columbia County, New York </w:t>
      </w:r>
    </w:p>
    <w:p w14:paraId="33A8B8C2" w14:textId="75723CC7" w:rsidR="00994C3D" w:rsidRPr="00994C3D" w:rsidRDefault="00994C3D" w:rsidP="00994C3D">
      <w:pPr>
        <w:contextualSpacing/>
        <w:rPr>
          <w:rFonts w:ascii="Times New Roman" w:hAnsi="Times New Roman" w:cs="Times New Roman"/>
          <w:b/>
          <w:bCs/>
          <w:i/>
          <w:iCs/>
          <w:sz w:val="28"/>
          <w:szCs w:val="28"/>
        </w:rPr>
      </w:pPr>
      <w:r w:rsidRPr="00994C3D">
        <w:rPr>
          <w:rFonts w:ascii="Times New Roman" w:hAnsi="Times New Roman" w:cs="Times New Roman"/>
          <w:b/>
          <w:bCs/>
          <w:i/>
          <w:iCs/>
          <w:sz w:val="28"/>
          <w:szCs w:val="28"/>
        </w:rPr>
        <w:t>Housing Affordability</w:t>
      </w:r>
      <w:r w:rsidR="003A2A99">
        <w:rPr>
          <w:rFonts w:ascii="Times New Roman" w:hAnsi="Times New Roman" w:cs="Times New Roman"/>
          <w:b/>
          <w:bCs/>
          <w:i/>
          <w:iCs/>
          <w:sz w:val="28"/>
          <w:szCs w:val="28"/>
        </w:rPr>
        <w:t xml:space="preserve"> Impact</w:t>
      </w:r>
      <w:r w:rsidRPr="00994C3D">
        <w:rPr>
          <w:rFonts w:ascii="Times New Roman" w:hAnsi="Times New Roman" w:cs="Times New Roman"/>
          <w:b/>
          <w:bCs/>
          <w:i/>
          <w:iCs/>
          <w:sz w:val="28"/>
          <w:szCs w:val="28"/>
        </w:rPr>
        <w:t xml:space="preserve"> Report</w:t>
      </w:r>
    </w:p>
    <w:p w14:paraId="25987096" w14:textId="6DF30EDB" w:rsidR="00B3459E" w:rsidRDefault="00994C3D" w:rsidP="00994C3D">
      <w:pPr>
        <w:contextualSpacing/>
        <w:rPr>
          <w:rFonts w:ascii="Times New Roman" w:hAnsi="Times New Roman" w:cs="Times New Roman"/>
          <w:i/>
          <w:iCs/>
        </w:rPr>
      </w:pPr>
      <w:r>
        <w:rPr>
          <w:rFonts w:ascii="Times New Roman" w:hAnsi="Times New Roman" w:cs="Times New Roman"/>
          <w:i/>
          <w:iCs/>
        </w:rPr>
        <w:t>April 2026</w:t>
      </w:r>
    </w:p>
    <w:p w14:paraId="479F7CA2" w14:textId="77777777" w:rsidR="00994C3D" w:rsidRDefault="00994C3D" w:rsidP="00994C3D">
      <w:pPr>
        <w:contextualSpacing/>
        <w:rPr>
          <w:rFonts w:ascii="Times New Roman" w:hAnsi="Times New Roman" w:cs="Times New Roman"/>
          <w:i/>
          <w:iCs/>
        </w:rPr>
      </w:pPr>
    </w:p>
    <w:p w14:paraId="1522AE27" w14:textId="77777777" w:rsidR="003A2A99" w:rsidRPr="003A2A99" w:rsidRDefault="003A2A99" w:rsidP="003A2A99">
      <w:pPr>
        <w:pStyle w:val="NormalWeb"/>
      </w:pPr>
      <w:r w:rsidRPr="003A2A99">
        <w:rPr>
          <w:b/>
          <w:bCs/>
          <w:sz w:val="22"/>
          <w:szCs w:val="22"/>
        </w:rPr>
        <w:t>Columbia County is facing a persistent housing shortage and affordability crisis. Labor force growth is restrained by aging demographics and high housing costs that limit the ability of workers to live locally. Residents are also challenged by increasing costs and taxes. The Project will generate several positive multiplier effects, including an immediate creation of temporary construction jobs and wages during the renovation phase, along with increased demand for local building materials and services, supporting regional suppliers and contractors. It will also result in increased local spending by the 52 new households at local businesses (groceries, retail, dining). It will also provide much needed workforce housing that allows local employers to attract and retain staff who might otherwise be priced out of Columbia County.</w:t>
      </w:r>
    </w:p>
    <w:p w14:paraId="15E0FE14" w14:textId="3F19C39A" w:rsidR="00B3459E" w:rsidRDefault="00B3459E" w:rsidP="00B3459E">
      <w:pPr>
        <w:rPr>
          <w:rFonts w:ascii="Times New Roman" w:hAnsi="Times New Roman" w:cs="Times New Roman"/>
          <w:i/>
          <w:iCs/>
        </w:rPr>
      </w:pPr>
      <w:r>
        <w:rPr>
          <w:rFonts w:ascii="Times New Roman" w:hAnsi="Times New Roman" w:cs="Times New Roman"/>
          <w:i/>
          <w:iCs/>
        </w:rPr>
        <w:t xml:space="preserve">In 2022, Hudson Valley Pattern for </w:t>
      </w:r>
      <w:proofErr w:type="gramStart"/>
      <w:r>
        <w:rPr>
          <w:rFonts w:ascii="Times New Roman" w:hAnsi="Times New Roman" w:cs="Times New Roman"/>
          <w:i/>
          <w:iCs/>
        </w:rPr>
        <w:t>Progress (‘</w:t>
      </w:r>
      <w:proofErr w:type="gramEnd"/>
      <w:r>
        <w:rPr>
          <w:rFonts w:ascii="Times New Roman" w:hAnsi="Times New Roman" w:cs="Times New Roman"/>
          <w:i/>
          <w:iCs/>
        </w:rPr>
        <w:t xml:space="preserve">Pattern’) created the ‘Columbia County Housing Brief’, a report that described the housing affordability challenges facing the County in the wake of the Covid-19 pandemic and an influx of new residents. The following is excerpted from that report (which is available in its entirety here: </w:t>
      </w:r>
      <w:hyperlink r:id="rId6" w:history="1">
        <w:r>
          <w:rPr>
            <w:rStyle w:val="Hyperlink"/>
            <w:rFonts w:ascii="Times New Roman" w:hAnsi="Times New Roman" w:cs="Times New Roman"/>
            <w:i/>
            <w:iCs/>
          </w:rPr>
          <w:t>2022 Columbia County Housing Brief</w:t>
        </w:r>
      </w:hyperlink>
      <w:r>
        <w:rPr>
          <w:rFonts w:ascii="Times New Roman" w:hAnsi="Times New Roman" w:cs="Times New Roman"/>
          <w:i/>
          <w:iCs/>
        </w:rPr>
        <w:t>). Additionally, Pattern publishes an annual report titled ‘Out of Reach’ that focuses on the gap between rising rental costs and stagnant renter wages; data from the 2025 report is included below.</w:t>
      </w:r>
    </w:p>
    <w:p w14:paraId="737FFD02" w14:textId="77777777" w:rsidR="00B3459E" w:rsidRDefault="00B3459E" w:rsidP="00B3459E">
      <w:pPr>
        <w:rPr>
          <w:rFonts w:ascii="Times New Roman" w:hAnsi="Times New Roman" w:cs="Times New Roman"/>
          <w:b/>
          <w:bCs/>
          <w:color w:val="E36C0A" w:themeColor="accent6" w:themeShade="BF"/>
          <w:sz w:val="32"/>
          <w:szCs w:val="32"/>
          <w:u w:val="single"/>
        </w:rPr>
      </w:pPr>
      <w:r>
        <w:rPr>
          <w:rFonts w:ascii="Times New Roman" w:hAnsi="Times New Roman" w:cs="Times New Roman"/>
          <w:b/>
          <w:bCs/>
          <w:color w:val="E36C0A" w:themeColor="accent6" w:themeShade="BF"/>
          <w:sz w:val="32"/>
          <w:szCs w:val="32"/>
          <w:u w:val="single"/>
        </w:rPr>
        <w:t>HOUSING IN COLUMBIA COUNTY</w:t>
      </w:r>
    </w:p>
    <w:p w14:paraId="101A3B54" w14:textId="77777777" w:rsidR="00B3459E" w:rsidRDefault="00B3459E" w:rsidP="00B3459E">
      <w:pPr>
        <w:rPr>
          <w:rFonts w:ascii="Times New Roman" w:hAnsi="Times New Roman" w:cs="Times New Roman"/>
          <w:sz w:val="24"/>
          <w:szCs w:val="24"/>
        </w:rPr>
      </w:pPr>
      <w:r>
        <w:rPr>
          <w:rFonts w:ascii="Times New Roman" w:hAnsi="Times New Roman" w:cs="Times New Roman"/>
        </w:rPr>
        <w:t xml:space="preserve">Affordable housing is vital to the over health of the county, its residents, and the local economy. This housing brief provides a snapshot of the current housing market, basic demographics, and housing affordability. The housing landscape of Columbia </w:t>
      </w:r>
      <w:proofErr w:type="gramStart"/>
      <w:r>
        <w:rPr>
          <w:rFonts w:ascii="Times New Roman" w:hAnsi="Times New Roman" w:cs="Times New Roman"/>
        </w:rPr>
        <w:t>County,</w:t>
      </w:r>
      <w:proofErr w:type="gramEnd"/>
      <w:r>
        <w:rPr>
          <w:rFonts w:ascii="Times New Roman" w:hAnsi="Times New Roman" w:cs="Times New Roman"/>
        </w:rPr>
        <w:t xml:space="preserve"> has, and continues to be greatly influenced by the pandemic. The county has also experienced changes in demographics and the economy, which are similar to the changes in the surrounding counties and in New York State. In the simplest terms, there is a lack of and an imbalance in the housing supply and the housing needs of the residents are not being met.</w:t>
      </w:r>
    </w:p>
    <w:p w14:paraId="3A9C42BD" w14:textId="77777777" w:rsidR="00B3459E" w:rsidRDefault="00B3459E" w:rsidP="00B3459E">
      <w:pPr>
        <w:rPr>
          <w:rFonts w:ascii="Times New Roman" w:hAnsi="Times New Roman" w:cs="Times New Roman"/>
          <w:b/>
          <w:bCs/>
          <w:color w:val="E36C0A" w:themeColor="accent6" w:themeShade="BF"/>
          <w:sz w:val="32"/>
          <w:szCs w:val="32"/>
          <w:u w:val="single"/>
        </w:rPr>
      </w:pPr>
      <w:r>
        <w:rPr>
          <w:rFonts w:ascii="Times New Roman" w:hAnsi="Times New Roman" w:cs="Times New Roman"/>
          <w:b/>
          <w:bCs/>
          <w:color w:val="E36C0A" w:themeColor="accent6" w:themeShade="BF"/>
          <w:sz w:val="32"/>
          <w:szCs w:val="32"/>
          <w:u w:val="single"/>
        </w:rPr>
        <w:t>IMPEDIMENTS TO HOUSING AFFORDABILITY</w:t>
      </w:r>
    </w:p>
    <w:p w14:paraId="17B931BE" w14:textId="77777777" w:rsidR="00B3459E" w:rsidRDefault="00B3459E" w:rsidP="00B3459E">
      <w:pPr>
        <w:rPr>
          <w:rFonts w:ascii="Times New Roman" w:hAnsi="Times New Roman" w:cs="Times New Roman"/>
          <w:sz w:val="24"/>
          <w:szCs w:val="24"/>
        </w:rPr>
      </w:pPr>
      <w:r>
        <w:rPr>
          <w:rFonts w:ascii="Times New Roman" w:hAnsi="Times New Roman" w:cs="Times New Roman"/>
        </w:rPr>
        <w:t>Columbia County is very rural in nature and as in many rural counties, especially with limited infrastructure including water, sewer, and broadband, the development of new housing, specifically multi-family and affordable housing is very difficult. Furthermore, rural counties tend to have an older housing stock. In fact, 54% of the housing stock in the county is over 50 years old and 31% was built prior to 1940.</w:t>
      </w:r>
    </w:p>
    <w:p w14:paraId="36B5FAC6" w14:textId="77777777" w:rsidR="00B3459E" w:rsidRDefault="00B3459E" w:rsidP="00B3459E">
      <w:pPr>
        <w:rPr>
          <w:rFonts w:ascii="Times New Roman" w:hAnsi="Times New Roman" w:cs="Times New Roman"/>
        </w:rPr>
      </w:pPr>
      <w:r>
        <w:rPr>
          <w:rFonts w:ascii="Times New Roman" w:hAnsi="Times New Roman" w:cs="Times New Roman"/>
        </w:rPr>
        <w:t xml:space="preserve">The impediments for the development of housing, especially affordable housing that serves low-income individuals and </w:t>
      </w:r>
      <w:proofErr w:type="gramStart"/>
      <w:r>
        <w:rPr>
          <w:rFonts w:ascii="Times New Roman" w:hAnsi="Times New Roman" w:cs="Times New Roman"/>
        </w:rPr>
        <w:t>families</w:t>
      </w:r>
      <w:proofErr w:type="gramEnd"/>
      <w:r>
        <w:rPr>
          <w:rFonts w:ascii="Times New Roman" w:hAnsi="Times New Roman" w:cs="Times New Roman"/>
        </w:rPr>
        <w:t xml:space="preserve"> are well known. They include community opposition, the cost of development, regulatory restrictions including the approval process, land, labor and materials, and dwindling federal, state, and local financial incentives and grants, and the expenses associated with maintaining the physical structure. The lack of water, </w:t>
      </w:r>
      <w:proofErr w:type="gramStart"/>
      <w:r>
        <w:rPr>
          <w:rFonts w:ascii="Times New Roman" w:hAnsi="Times New Roman" w:cs="Times New Roman"/>
        </w:rPr>
        <w:t>sewer</w:t>
      </w:r>
      <w:proofErr w:type="gramEnd"/>
      <w:r>
        <w:rPr>
          <w:rFonts w:ascii="Times New Roman" w:hAnsi="Times New Roman" w:cs="Times New Roman"/>
        </w:rPr>
        <w:t xml:space="preserve">, roads, and other infrastructure and the availability of appropriate locations also </w:t>
      </w:r>
      <w:proofErr w:type="gramStart"/>
      <w:r>
        <w:rPr>
          <w:rFonts w:ascii="Times New Roman" w:hAnsi="Times New Roman" w:cs="Times New Roman"/>
        </w:rPr>
        <w:t>represents</w:t>
      </w:r>
      <w:proofErr w:type="gramEnd"/>
      <w:r>
        <w:rPr>
          <w:rFonts w:ascii="Times New Roman" w:hAnsi="Times New Roman" w:cs="Times New Roman"/>
        </w:rPr>
        <w:t xml:space="preserve"> impediments to the development of housing.</w:t>
      </w:r>
    </w:p>
    <w:p w14:paraId="0D33766D" w14:textId="77777777" w:rsidR="00994C3D" w:rsidRDefault="00B3459E" w:rsidP="00B3459E">
      <w:pPr>
        <w:rPr>
          <w:rFonts w:ascii="Times New Roman" w:hAnsi="Times New Roman" w:cs="Times New Roman"/>
        </w:rPr>
      </w:pPr>
      <w:r>
        <w:rPr>
          <w:rFonts w:ascii="Times New Roman" w:hAnsi="Times New Roman" w:cs="Times New Roman"/>
        </w:rPr>
        <w:t xml:space="preserve">In terms of rental housing, the financial resources typically include the Low-income Housing Tax Credit program (LIHTC), Community Development Block Grants (CDBG), New York State Housing Trust Funds, HOME </w:t>
      </w:r>
    </w:p>
    <w:p w14:paraId="2C4ED4DB" w14:textId="77777777" w:rsidR="00994C3D" w:rsidRDefault="00994C3D" w:rsidP="00B3459E">
      <w:pPr>
        <w:rPr>
          <w:rFonts w:ascii="Times New Roman" w:hAnsi="Times New Roman" w:cs="Times New Roman"/>
        </w:rPr>
      </w:pPr>
    </w:p>
    <w:p w14:paraId="6966DA45" w14:textId="77777777" w:rsidR="00994C3D" w:rsidRDefault="00994C3D" w:rsidP="00B3459E">
      <w:pPr>
        <w:rPr>
          <w:rFonts w:ascii="Times New Roman" w:hAnsi="Times New Roman" w:cs="Times New Roman"/>
        </w:rPr>
      </w:pPr>
    </w:p>
    <w:p w14:paraId="3CC7F4ED" w14:textId="77777777" w:rsidR="00994C3D" w:rsidRDefault="00994C3D" w:rsidP="00B3459E">
      <w:pPr>
        <w:rPr>
          <w:rFonts w:ascii="Times New Roman" w:hAnsi="Times New Roman" w:cs="Times New Roman"/>
        </w:rPr>
      </w:pPr>
    </w:p>
    <w:p w14:paraId="160AE79D" w14:textId="29D07291" w:rsidR="00994C3D" w:rsidRDefault="00B3459E" w:rsidP="00B3459E">
      <w:pPr>
        <w:rPr>
          <w:rFonts w:ascii="Times New Roman" w:hAnsi="Times New Roman" w:cs="Times New Roman"/>
        </w:rPr>
      </w:pPr>
      <w:r>
        <w:rPr>
          <w:rFonts w:ascii="Times New Roman" w:hAnsi="Times New Roman" w:cs="Times New Roman"/>
        </w:rPr>
        <w:t xml:space="preserve">Program, USDA Rural Development, developer equity, and a cadre of additional resources that act as bricks to build what is known in the development industry as a “capital stack”. Programs related to homeownership may </w:t>
      </w:r>
    </w:p>
    <w:p w14:paraId="636A2ACC" w14:textId="2B8E882D" w:rsidR="00994C3D" w:rsidRDefault="00B3459E" w:rsidP="00B3459E">
      <w:pPr>
        <w:rPr>
          <w:rFonts w:ascii="Times New Roman" w:hAnsi="Times New Roman" w:cs="Times New Roman"/>
        </w:rPr>
      </w:pPr>
      <w:r>
        <w:rPr>
          <w:rFonts w:ascii="Times New Roman" w:hAnsi="Times New Roman" w:cs="Times New Roman"/>
        </w:rPr>
        <w:t>include the resources previously listed and may also include the NYS Affordable Housing Corporation, Federal Home Loan Bank, Access to Home, RESTORE, and a number of other state initiatives administered through the</w:t>
      </w:r>
    </w:p>
    <w:p w14:paraId="7E6252F8" w14:textId="5119BCBB" w:rsidR="00B3459E" w:rsidRDefault="00B3459E" w:rsidP="00B3459E">
      <w:pPr>
        <w:rPr>
          <w:rFonts w:ascii="Times New Roman" w:hAnsi="Times New Roman" w:cs="Times New Roman"/>
        </w:rPr>
      </w:pPr>
      <w:r>
        <w:rPr>
          <w:rFonts w:ascii="Times New Roman" w:hAnsi="Times New Roman" w:cs="Times New Roman"/>
        </w:rPr>
        <w:t xml:space="preserve">New York State Homes and Community Renewal (HCR). In addition to the above financial resources, local incentives play a vital role in the development of affordable housing. For example, municipalities can reserve </w:t>
      </w:r>
      <w:proofErr w:type="gramStart"/>
      <w:r>
        <w:rPr>
          <w:rFonts w:ascii="Times New Roman" w:hAnsi="Times New Roman" w:cs="Times New Roman"/>
        </w:rPr>
        <w:t>municipally-owned</w:t>
      </w:r>
      <w:proofErr w:type="gramEnd"/>
      <w:r>
        <w:rPr>
          <w:rFonts w:ascii="Times New Roman" w:hAnsi="Times New Roman" w:cs="Times New Roman"/>
        </w:rPr>
        <w:t xml:space="preserve"> land or buildings for affordable housing to be sold at fair </w:t>
      </w:r>
      <w:proofErr w:type="gramStart"/>
      <w:r>
        <w:rPr>
          <w:rFonts w:ascii="Times New Roman" w:hAnsi="Times New Roman" w:cs="Times New Roman"/>
        </w:rPr>
        <w:t>value, or</w:t>
      </w:r>
      <w:proofErr w:type="gramEnd"/>
      <w:r>
        <w:rPr>
          <w:rFonts w:ascii="Times New Roman" w:hAnsi="Times New Roman" w:cs="Times New Roman"/>
        </w:rPr>
        <w:t xml:space="preserve"> offer a Payment In Lieu of Taxes (PILOT). A PILOT is a fiscal tool that establishes a schedule of payments to a taxing jurisdiction such as a county, town, village, city, and/or a school district. PILOT’s authorized by an industrial development agency (IDA) generally </w:t>
      </w:r>
      <w:proofErr w:type="gramStart"/>
      <w:r>
        <w:rPr>
          <w:rFonts w:ascii="Times New Roman" w:hAnsi="Times New Roman" w:cs="Times New Roman"/>
        </w:rPr>
        <w:t>offer</w:t>
      </w:r>
      <w:proofErr w:type="gramEnd"/>
      <w:r>
        <w:rPr>
          <w:rFonts w:ascii="Times New Roman" w:hAnsi="Times New Roman" w:cs="Times New Roman"/>
        </w:rPr>
        <w:t xml:space="preserve"> a schedule of payments over a period of years that replaces the taxes that would have been paid had the property been fully taxable. This type of incentive is utilized to make a project financially feasible as well as more competitive for state and federal resources.</w:t>
      </w:r>
    </w:p>
    <w:p w14:paraId="1D15FA84" w14:textId="77777777" w:rsidR="00B3459E" w:rsidRDefault="00B3459E" w:rsidP="00B3459E">
      <w:pPr>
        <w:rPr>
          <w:rFonts w:ascii="Times New Roman" w:hAnsi="Times New Roman" w:cs="Times New Roman"/>
        </w:rPr>
      </w:pPr>
      <w:r>
        <w:rPr>
          <w:rFonts w:ascii="Times New Roman" w:hAnsi="Times New Roman" w:cs="Times New Roman"/>
        </w:rPr>
        <w:t xml:space="preserve">There is a fundamental difference between </w:t>
      </w:r>
      <w:proofErr w:type="gramStart"/>
      <w:r>
        <w:rPr>
          <w:rFonts w:ascii="Times New Roman" w:hAnsi="Times New Roman" w:cs="Times New Roman"/>
        </w:rPr>
        <w:t>PILOT’s</w:t>
      </w:r>
      <w:proofErr w:type="gramEnd"/>
      <w:r>
        <w:rPr>
          <w:rFonts w:ascii="Times New Roman" w:hAnsi="Times New Roman" w:cs="Times New Roman"/>
        </w:rPr>
        <w:t xml:space="preserve"> for affordable housing and those granted for other projects, as affordable housing already enjoys special assessment practices. Under Section 521-a of the Real Property Tax Law, affordable housing development assessments are based on the net income generated by the development rather than on the value of the buildings (the income-based approach). The local assessor must establish these rates annually using documentation submitted by the owner. </w:t>
      </w:r>
      <w:proofErr w:type="gramStart"/>
      <w:r>
        <w:rPr>
          <w:rFonts w:ascii="Times New Roman" w:hAnsi="Times New Roman" w:cs="Times New Roman"/>
        </w:rPr>
        <w:t>PILOT’s</w:t>
      </w:r>
      <w:proofErr w:type="gramEnd"/>
      <w:r>
        <w:rPr>
          <w:rFonts w:ascii="Times New Roman" w:hAnsi="Times New Roman" w:cs="Times New Roman"/>
        </w:rPr>
        <w:t xml:space="preserve"> for affordable housing generally utilize this income-based approach to set fixed payment schedules based upon projected income. The PILOT removes the potential for annual disagreements with local assessors over net income, providing certainty of future revenue to the taxing jurisdiction and future costs to the developer. Without that certainty, obtaining the long-term financing needed for affordable housing development can be substantially more difficult or impossible.</w:t>
      </w:r>
    </w:p>
    <w:p w14:paraId="62FB8D36" w14:textId="77777777" w:rsidR="00B3459E" w:rsidRDefault="00B3459E" w:rsidP="00B3459E">
      <w:pPr>
        <w:rPr>
          <w:rFonts w:ascii="Times New Roman" w:hAnsi="Times New Roman" w:cs="Times New Roman"/>
          <w:b/>
          <w:bCs/>
          <w:color w:val="E36C0A" w:themeColor="accent6" w:themeShade="BF"/>
          <w:sz w:val="32"/>
          <w:szCs w:val="32"/>
          <w:u w:val="single"/>
        </w:rPr>
      </w:pPr>
      <w:r>
        <w:rPr>
          <w:rFonts w:ascii="Times New Roman" w:hAnsi="Times New Roman" w:cs="Times New Roman"/>
          <w:b/>
          <w:bCs/>
          <w:color w:val="E36C0A" w:themeColor="accent6" w:themeShade="BF"/>
          <w:sz w:val="32"/>
          <w:szCs w:val="32"/>
          <w:u w:val="single"/>
        </w:rPr>
        <w:t>‘OUT OF REACH’ – 2025</w:t>
      </w:r>
    </w:p>
    <w:p w14:paraId="676535D8" w14:textId="77777777" w:rsidR="00B3459E" w:rsidRDefault="00B3459E" w:rsidP="00B3459E">
      <w:pPr>
        <w:rPr>
          <w:rFonts w:ascii="Times New Roman" w:hAnsi="Times New Roman" w:cs="Times New Roman"/>
          <w:sz w:val="24"/>
          <w:szCs w:val="24"/>
        </w:rPr>
      </w:pPr>
      <w:r>
        <w:rPr>
          <w:rFonts w:ascii="Times New Roman" w:hAnsi="Times New Roman" w:cs="Times New Roman"/>
        </w:rPr>
        <w:t xml:space="preserve">Hudson Valley Pattern for Progress and its Center for Housing Solutions &amp; Community Initiatives have analyzed rental housing and wage data for more than a decade. Our reports on housing trends help lawmakers, nonprofit agencies, developers, and other stakeholders in their efforts to provide housing that is affordable in the region. Our annual Out of Reach (OOR) report examines the affordability of rental housing and homeownership throughout the nine counties we serve: Columbia, Dutchess, Greene, Orange, Putnam, Rockland, Sullivan, Ulster, and Westchester. </w:t>
      </w:r>
    </w:p>
    <w:p w14:paraId="30CF8885" w14:textId="77777777" w:rsidR="00B3459E" w:rsidRDefault="00B3459E" w:rsidP="00B3459E">
      <w:pPr>
        <w:rPr>
          <w:rFonts w:ascii="Times New Roman" w:hAnsi="Times New Roman" w:cs="Times New Roman"/>
        </w:rPr>
      </w:pPr>
      <w:r>
        <w:rPr>
          <w:rFonts w:ascii="Times New Roman" w:hAnsi="Times New Roman" w:cs="Times New Roman"/>
        </w:rPr>
        <w:t xml:space="preserve">This report is based largely on data published annually by the National Low Income Housing Coalition (NLIHC), which compares fair-market rents (FMR) with average renter wages to arrive at the Rent Gap: the difference between fair market rental costs and rents that would be affordable to tenants earning average wages. In addition, we compare home sales prices and Area Median Incomes (AMI) throughout the Hudson Valley to provide what we have </w:t>
      </w:r>
      <w:proofErr w:type="gramStart"/>
      <w:r>
        <w:rPr>
          <w:rFonts w:ascii="Times New Roman" w:hAnsi="Times New Roman" w:cs="Times New Roman"/>
        </w:rPr>
        <w:t>coined</w:t>
      </w:r>
      <w:proofErr w:type="gramEnd"/>
      <w:r>
        <w:rPr>
          <w:rFonts w:ascii="Times New Roman" w:hAnsi="Times New Roman" w:cs="Times New Roman"/>
        </w:rPr>
        <w:t xml:space="preserve"> the Mortgage Gap, which underscores the challenges faced by median earners trying to buy their first home. </w:t>
      </w:r>
    </w:p>
    <w:p w14:paraId="24B5231F" w14:textId="77777777" w:rsidR="00B3459E" w:rsidRDefault="00B3459E" w:rsidP="00B3459E">
      <w:pPr>
        <w:rPr>
          <w:rFonts w:ascii="Times New Roman" w:hAnsi="Times New Roman" w:cs="Times New Roman"/>
        </w:rPr>
      </w:pPr>
      <w:r>
        <w:rPr>
          <w:rFonts w:ascii="Times New Roman" w:hAnsi="Times New Roman" w:cs="Times New Roman"/>
        </w:rPr>
        <w:t xml:space="preserve">This year’s data </w:t>
      </w:r>
      <w:proofErr w:type="gramStart"/>
      <w:r>
        <w:rPr>
          <w:rFonts w:ascii="Times New Roman" w:hAnsi="Times New Roman" w:cs="Times New Roman"/>
        </w:rPr>
        <w:t>confirm</w:t>
      </w:r>
      <w:proofErr w:type="gramEnd"/>
      <w:r>
        <w:rPr>
          <w:rFonts w:ascii="Times New Roman" w:hAnsi="Times New Roman" w:cs="Times New Roman"/>
        </w:rPr>
        <w:t xml:space="preserve"> what many in our region already know all too well: The cost of housing in the Hudson Valley continues to rise faster than wages for renters and buyers. Over the 5-year period from 2020 through 2025, the average rent gap grew steadily in nearly every county, with Ulster increasing by $388 (59%), Westchester by $454 (47%), and Columbia by $222 (54%). Even over the past year alone, counties like Sullivan and Westchester saw sharp year-over-year jumps of $141 (48%) and $336 (31%), respectively. For the first time this year, two working adults sharing the cost of rent in Westchester cannot afford a 2-bedroom apartment without spending more than 30% of their </w:t>
      </w:r>
      <w:proofErr w:type="gramStart"/>
      <w:r>
        <w:rPr>
          <w:rFonts w:ascii="Times New Roman" w:hAnsi="Times New Roman" w:cs="Times New Roman"/>
        </w:rPr>
        <w:t>incomes</w:t>
      </w:r>
      <w:proofErr w:type="gramEnd"/>
      <w:r>
        <w:rPr>
          <w:rFonts w:ascii="Times New Roman" w:hAnsi="Times New Roman" w:cs="Times New Roman"/>
        </w:rPr>
        <w:t xml:space="preserve"> on housing costs. These numbers highlight the immediate and growing strain felt by renters, as housing costs continue to outpace income year after year. As a result, working tenants are left with less money to cover basic necessities—like food, transportation, and the cost of raising a family.</w:t>
      </w:r>
      <w:r>
        <w:rPr>
          <w:rFonts w:ascii="Times New Roman" w:hAnsi="Times New Roman" w:cs="Times New Roman"/>
        </w:rPr>
        <w:br/>
      </w:r>
    </w:p>
    <w:p w14:paraId="541116B4" w14:textId="77777777" w:rsidR="00B3459E" w:rsidRDefault="00B3459E" w:rsidP="00B3459E">
      <w:pPr>
        <w:rPr>
          <w:rFonts w:ascii="Times New Roman" w:hAnsi="Times New Roman" w:cs="Times New Roman"/>
          <w:b/>
          <w:bCs/>
          <w:color w:val="E36C0A" w:themeColor="accent6" w:themeShade="BF"/>
          <w:sz w:val="32"/>
          <w:szCs w:val="32"/>
          <w:u w:val="single"/>
        </w:rPr>
      </w:pPr>
      <w:r>
        <w:rPr>
          <w:rFonts w:ascii="Times New Roman" w:hAnsi="Times New Roman" w:cs="Times New Roman"/>
          <w:b/>
          <w:bCs/>
          <w:color w:val="E36C0A" w:themeColor="accent6" w:themeShade="BF"/>
          <w:sz w:val="32"/>
          <w:szCs w:val="32"/>
          <w:u w:val="single"/>
        </w:rPr>
        <w:t>COLUMBIA COUNTY RENTAL HOUSING IS OUT OF REACH</w:t>
      </w:r>
    </w:p>
    <w:p w14:paraId="2EA0EB4E" w14:textId="77777777" w:rsidR="00B3459E" w:rsidRDefault="00B3459E" w:rsidP="00B3459E">
      <w:pPr>
        <w:rPr>
          <w:rFonts w:ascii="Times New Roman" w:hAnsi="Times New Roman" w:cs="Times New Roman"/>
          <w:sz w:val="24"/>
          <w:szCs w:val="24"/>
        </w:rPr>
      </w:pPr>
      <w:r>
        <w:rPr>
          <w:rFonts w:ascii="Times New Roman" w:hAnsi="Times New Roman" w:cs="Times New Roman"/>
        </w:rPr>
        <w:t>The average hourly wage of renters throughout the Hudson Valley has increased to varying degrees in every county since 2020. From 2024-2025, the average hourly wage for renters in most counties remained relatively stagnant (below $0.20 per hour). The greatest year-over-year increases were seen in Dutchess and Westchester, where the average hourly wage grew by 7%. These miniscule to modest increases in hourly wages for renters since 2020 have not kept pace with inflation (25%) that took place over the past 5 years.</w:t>
      </w:r>
    </w:p>
    <w:p w14:paraId="6E6FE919" w14:textId="77777777" w:rsidR="00B3459E" w:rsidRDefault="00B3459E" w:rsidP="00B3459E">
      <w:pPr>
        <w:rPr>
          <w:rFonts w:ascii="Times New Roman" w:hAnsi="Times New Roman" w:cs="Times New Roman"/>
        </w:rPr>
      </w:pPr>
      <w:r>
        <w:rPr>
          <w:rFonts w:ascii="Times New Roman" w:hAnsi="Times New Roman" w:cs="Times New Roman"/>
        </w:rPr>
        <w:t>In Columbia County, average renter wages increased 3% from 2020 to 2025. During that same period, Fair Market Rent for a two-bedroom apartment increased by 13%. In 2025, an individual earning the average rental wage faces a nearly $9 per hour gap between what they earn ($13.17 an hour) and the wage needed ($22.69, or ‘the Housing Wage’) to afford a one-bedroom apartment at Fair Market Rent.</w:t>
      </w:r>
    </w:p>
    <w:p w14:paraId="564E5526" w14:textId="77777777" w:rsidR="00B3459E" w:rsidRDefault="00B3459E" w:rsidP="00B3459E">
      <w:pPr>
        <w:rPr>
          <w:rFonts w:ascii="Times New Roman" w:hAnsi="Times New Roman" w:cs="Times New Roman"/>
        </w:rPr>
      </w:pPr>
      <w:r>
        <w:rPr>
          <w:rFonts w:ascii="Times New Roman" w:hAnsi="Times New Roman" w:cs="Times New Roman"/>
        </w:rPr>
        <w:t>The gap between actual wages and the Housing Wage underscores the financial stress felt by renters in our communities. Beyond housing, this gap also means that renters in the Hudson Valley are struggling to afford essentials such as transportation, groceries, and other bills. The strain on household budgets is even more severe when we consider the cost of children or other dependents, the need for savings, or funds for unexpected expenses like fixing a car or a trip to the emergency room.</w:t>
      </w:r>
    </w:p>
    <w:p w14:paraId="16257065" w14:textId="77777777" w:rsidR="00B3459E" w:rsidRDefault="00B3459E" w:rsidP="00B3459E">
      <w:pPr>
        <w:rPr>
          <w:rFonts w:ascii="Times New Roman" w:hAnsi="Times New Roman" w:cs="Times New Roman"/>
        </w:rPr>
      </w:pPr>
    </w:p>
    <w:p w14:paraId="35558126" w14:textId="77777777" w:rsidR="00B3459E" w:rsidRDefault="00B3459E" w:rsidP="00B3459E">
      <w:pPr>
        <w:rPr>
          <w:rFonts w:ascii="Times New Roman" w:hAnsi="Times New Roman" w:cs="Times New Roman"/>
        </w:rPr>
      </w:pPr>
    </w:p>
    <w:p w14:paraId="75DA9A56" w14:textId="7E7114A4" w:rsidR="00434ECD" w:rsidRDefault="00434ECD" w:rsidP="00360847">
      <w:pPr>
        <w:tabs>
          <w:tab w:val="left" w:pos="0"/>
        </w:tabs>
      </w:pPr>
    </w:p>
    <w:p w14:paraId="233E4DAA" w14:textId="79CADE68" w:rsidR="00FF606E" w:rsidRDefault="00FF606E" w:rsidP="00434ECD"/>
    <w:p w14:paraId="76C33CF4" w14:textId="3B06628A" w:rsidR="00703C74" w:rsidRPr="00703C74" w:rsidRDefault="00703C74" w:rsidP="00703C74"/>
    <w:p w14:paraId="7EFF1262" w14:textId="1A713A08" w:rsidR="00703C74" w:rsidRPr="00703C74" w:rsidRDefault="00703C74" w:rsidP="00703C74"/>
    <w:p w14:paraId="04CC0546" w14:textId="21F30308" w:rsidR="00703C74" w:rsidRPr="00703C74" w:rsidRDefault="00703C74" w:rsidP="00703C74"/>
    <w:p w14:paraId="02C81104" w14:textId="50418864" w:rsidR="00703C74" w:rsidRPr="00703C74" w:rsidRDefault="00703C74" w:rsidP="00703C74"/>
    <w:p w14:paraId="7D1A382C" w14:textId="71E9EAA4" w:rsidR="00703C74" w:rsidRPr="00703C74" w:rsidRDefault="00703C74" w:rsidP="00703C74"/>
    <w:p w14:paraId="35DB7CC1" w14:textId="404DD699" w:rsidR="00703C74" w:rsidRPr="00703C74" w:rsidRDefault="00703C74" w:rsidP="00703C74"/>
    <w:p w14:paraId="052E874C" w14:textId="65092EAC" w:rsidR="00703C74" w:rsidRPr="00703C74" w:rsidRDefault="00703C74" w:rsidP="00703C74"/>
    <w:p w14:paraId="2C5061F0" w14:textId="22CA0BC8" w:rsidR="00703C74" w:rsidRPr="00703C74" w:rsidRDefault="00703C74" w:rsidP="00703C74"/>
    <w:p w14:paraId="3C32B818" w14:textId="00CD52A7" w:rsidR="00703C74" w:rsidRPr="00703C74" w:rsidRDefault="00703C74" w:rsidP="00703C74"/>
    <w:p w14:paraId="5FE893A7" w14:textId="78755657" w:rsidR="00703C74" w:rsidRPr="00703C74" w:rsidRDefault="00703C74" w:rsidP="00703C74"/>
    <w:p w14:paraId="487E49C1" w14:textId="2FE05E96" w:rsidR="00703C74" w:rsidRPr="00703C74" w:rsidRDefault="00703C74" w:rsidP="00703C74"/>
    <w:p w14:paraId="4D99626E" w14:textId="1061E9CF" w:rsidR="00703C74" w:rsidRPr="00703C74" w:rsidRDefault="00703C74" w:rsidP="00703C74"/>
    <w:p w14:paraId="1753677E" w14:textId="75B61693" w:rsidR="00703C74" w:rsidRPr="00703C74" w:rsidRDefault="00703C74" w:rsidP="00703C74"/>
    <w:p w14:paraId="658D0261" w14:textId="6DA1428A" w:rsidR="00703C74" w:rsidRPr="00703C74" w:rsidRDefault="00703C74" w:rsidP="00703C74"/>
    <w:p w14:paraId="5E829946" w14:textId="533EF70F" w:rsidR="00703C74" w:rsidRPr="00703C74" w:rsidRDefault="00703C74" w:rsidP="00703C74"/>
    <w:p w14:paraId="3198D21E" w14:textId="4EC1904E" w:rsidR="00703C74" w:rsidRDefault="00703C74" w:rsidP="00703C74"/>
    <w:p w14:paraId="72C9DE25" w14:textId="77777777" w:rsidR="00703C74" w:rsidRPr="00703C74" w:rsidRDefault="00703C74" w:rsidP="00703C74"/>
    <w:sectPr w:rsidR="00703C74" w:rsidRPr="00703C74" w:rsidSect="00C53E3A">
      <w:headerReference w:type="default" r:id="rId7"/>
      <w:footerReference w:type="default" r:id="rId8"/>
      <w:pgSz w:w="12240" w:h="15840"/>
      <w:pgMar w:top="720"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E3B6" w14:textId="77777777" w:rsidR="00DC57A6" w:rsidRDefault="00DC57A6" w:rsidP="00703C74">
      <w:pPr>
        <w:spacing w:after="0" w:line="240" w:lineRule="auto"/>
      </w:pPr>
      <w:r>
        <w:separator/>
      </w:r>
    </w:p>
  </w:endnote>
  <w:endnote w:type="continuationSeparator" w:id="0">
    <w:p w14:paraId="64C19AD9" w14:textId="77777777" w:rsidR="00DC57A6" w:rsidRDefault="00DC57A6" w:rsidP="0070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FD89" w14:textId="77777777" w:rsidR="00703C74" w:rsidRPr="00434ECD" w:rsidRDefault="00703C74" w:rsidP="00703C74"/>
  <w:p w14:paraId="6F29316E" w14:textId="77777777" w:rsidR="00703C74" w:rsidRPr="00E81236" w:rsidRDefault="00703C74" w:rsidP="00703C74">
    <w:pPr>
      <w:tabs>
        <w:tab w:val="left" w:pos="180"/>
      </w:tabs>
      <w:jc w:val="center"/>
      <w:rPr>
        <w:rFonts w:ascii="Times New Roman" w:hAnsi="Times New Roman" w:cs="Times New Roman"/>
        <w:color w:val="595959" w:themeColor="text1" w:themeTint="A6"/>
        <w:sz w:val="16"/>
        <w:szCs w:val="16"/>
      </w:rPr>
    </w:pPr>
    <w:r w:rsidRPr="004340CC">
      <w:rPr>
        <w:noProof/>
        <w:color w:val="D9D9D9" w:themeColor="background1" w:themeShade="D9"/>
      </w:rPr>
      <mc:AlternateContent>
        <mc:Choice Requires="wps">
          <w:drawing>
            <wp:anchor distT="0" distB="0" distL="114300" distR="114300" simplePos="0" relativeHeight="251659264" behindDoc="0" locked="0" layoutInCell="1" allowOverlap="1" wp14:anchorId="134E5240" wp14:editId="3EB60C42">
              <wp:simplePos x="0" y="0"/>
              <wp:positionH relativeFrom="column">
                <wp:posOffset>-1905</wp:posOffset>
              </wp:positionH>
              <wp:positionV relativeFrom="paragraph">
                <wp:posOffset>197168</wp:posOffset>
              </wp:positionV>
              <wp:extent cx="651700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6517005" cy="0"/>
                      </a:xfrm>
                      <a:prstGeom prst="line">
                        <a:avLst/>
                      </a:prstGeom>
                      <a:noFill/>
                      <a:ln w="9525" cap="flat" cmpd="sng" algn="ctr">
                        <a:solidFill>
                          <a:sysClr val="window" lastClr="FFFFFF">
                            <a:lumMod val="75000"/>
                          </a:sysClr>
                        </a:solidFill>
                        <a:prstDash val="solid"/>
                      </a:ln>
                      <a:effectLst/>
                    </wps:spPr>
                    <wps:bodyPr/>
                  </wps:wsp>
                </a:graphicData>
              </a:graphic>
              <wp14:sizeRelH relativeFrom="margin">
                <wp14:pctWidth>0</wp14:pctWidth>
              </wp14:sizeRelH>
            </wp:anchor>
          </w:drawing>
        </mc:Choice>
        <mc:Fallback>
          <w:pict>
            <v:line w14:anchorId="574BFED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5.55pt" to="51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3XtgEAAF8DAAAOAAAAZHJzL2Uyb0RvYy54bWysU8tuGzEMvBfoPwi611obcNIuvM4hhnvp&#10;I0CbD2D02BWgF0TFa/99Kdlx0vZW1AeZIjUjcjS7uTt6xw46o41h4MtFx5kOMiobxoE//tx/+MgZ&#10;FggKXAx64CeN/G77/t1mTr1exSk6pTMjkoD9nAY+lZJ6IVBO2gMuYtKBiiZmD4W2eRQqw0zs3olV&#10;192IOWaVcpQakbK7c5FvG78xWpbvxqAuzA2ceittzW19qqvYbqAfM6TJyksb8A9deLCBLr1S7aAA&#10;e872LypvZY4YTVnI6EU0xkrdZqBplt0f0/yYIOk2C4mD6SoT/j9a+e1wHx4yyTAn7DE95DrF0WRf&#10;/6k/dmxina5i6WNhkpI36+Vt1605ky818QpMGctnHT2rwcCdDXUO6OHwBQtdRkdfjtR0iHvrXHsL&#10;F9g88E/rVWUGcoRxUCj0SQ0cw8gZuJGsJktujBidVRVdefCE9y6zA9Brk0lUnDlzgIWSA9+3XwO5&#10;Z/81qvO523XXNR9QT2d8a+833trrDnA6I1qpOocQLtR7dXPaZbRXIWv0FNWp6Svqjl6xwS6OqzZ5&#10;u6f47Xex/QUAAP//AwBQSwMEFAAGAAgAAAAhAG7gXzfcAAAACAEAAA8AAABkcnMvZG93bnJldi54&#10;bWxMj8FqwzAQRO+F/oPYQm+J5ARMcSyHUCgU2kvSHHJUpK3t1toVlpI4f1+FHtrjzgyzb+r15Adx&#10;xjH2TBqKuQKBZNn11GrYf7zMnkDEZMiZgQk1XDHCurm/q03l+EJbPO9SK3IJxcpo6FIKlZTRduhN&#10;nHNAyt4nj96kfI6tdKO55HI/yIVSpfSmp/yhMwGfO7Tfu5PX0LdvE9vroeTtZn8IKtjXL/Wu9ePD&#10;tFmBSDilvzDc8DM6NJnpyCdyUQwaZssc1LAsChA3Wy3KvO34q8imlv8HND8AAAD//wMAUEsBAi0A&#10;FAAGAAgAAAAhALaDOJL+AAAA4QEAABMAAAAAAAAAAAAAAAAAAAAAAFtDb250ZW50X1R5cGVzXS54&#10;bWxQSwECLQAUAAYACAAAACEAOP0h/9YAAACUAQAACwAAAAAAAAAAAAAAAAAvAQAAX3JlbHMvLnJl&#10;bHNQSwECLQAUAAYACAAAACEA6u6917YBAABfAwAADgAAAAAAAAAAAAAAAAAuAgAAZHJzL2Uyb0Rv&#10;Yy54bWxQSwECLQAUAAYACAAAACEAbuBfN9wAAAAIAQAADwAAAAAAAAAAAAAAAAAQBAAAZHJzL2Rv&#10;d25yZXYueG1sUEsFBgAAAAAEAAQA8wAAABkFAAAAAA==&#10;" strokecolor="#bfbfbf"/>
          </w:pict>
        </mc:Fallback>
      </mc:AlternateContent>
    </w:r>
    <w:r w:rsidRPr="00E81236">
      <w:rPr>
        <w:rFonts w:ascii="Times New Roman" w:hAnsi="Times New Roman" w:cs="Times New Roman"/>
        <w:color w:val="595959" w:themeColor="text1" w:themeTint="A6"/>
        <w:sz w:val="16"/>
        <w:szCs w:val="16"/>
      </w:rPr>
      <w:t>4303 Route 9, Hudson, NY 12534-</w:t>
    </w:r>
    <w:proofErr w:type="gramStart"/>
    <w:r w:rsidRPr="00E81236">
      <w:rPr>
        <w:rFonts w:ascii="Times New Roman" w:hAnsi="Times New Roman" w:cs="Times New Roman"/>
        <w:color w:val="595959" w:themeColor="text1" w:themeTint="A6"/>
        <w:sz w:val="16"/>
        <w:szCs w:val="16"/>
      </w:rPr>
      <w:t>2415  |</w:t>
    </w:r>
    <w:proofErr w:type="gramEnd"/>
    <w:r w:rsidRPr="00E81236">
      <w:rPr>
        <w:rFonts w:ascii="Times New Roman" w:hAnsi="Times New Roman" w:cs="Times New Roman"/>
        <w:color w:val="595959" w:themeColor="text1" w:themeTint="A6"/>
        <w:sz w:val="16"/>
        <w:szCs w:val="16"/>
      </w:rPr>
      <w:t xml:space="preserve">  </w:t>
    </w:r>
    <w:proofErr w:type="gramStart"/>
    <w:r w:rsidRPr="00E81236">
      <w:rPr>
        <w:rFonts w:ascii="Times New Roman" w:hAnsi="Times New Roman" w:cs="Times New Roman"/>
        <w:color w:val="595959" w:themeColor="text1" w:themeTint="A6"/>
        <w:sz w:val="16"/>
        <w:szCs w:val="16"/>
      </w:rPr>
      <w:t>518.828.4718  |</w:t>
    </w:r>
    <w:proofErr w:type="gramEnd"/>
    <w:r w:rsidRPr="00E81236">
      <w:rPr>
        <w:rFonts w:ascii="Times New Roman" w:hAnsi="Times New Roman" w:cs="Times New Roman"/>
        <w:color w:val="595959" w:themeColor="text1" w:themeTint="A6"/>
        <w:sz w:val="16"/>
        <w:szCs w:val="16"/>
      </w:rPr>
      <w:t xml:space="preserve">  Fax 518.828.0901</w:t>
    </w:r>
  </w:p>
  <w:p w14:paraId="05833DE8" w14:textId="690123DB" w:rsidR="00703C74" w:rsidRDefault="00703C74" w:rsidP="00703C74">
    <w:pPr>
      <w:tabs>
        <w:tab w:val="left" w:pos="1141"/>
      </w:tabs>
      <w:spacing w:after="0" w:line="360" w:lineRule="auto"/>
      <w:jc w:val="center"/>
    </w:pPr>
    <w:r w:rsidRPr="00E81236">
      <w:rPr>
        <w:rFonts w:ascii="Times New Roman" w:hAnsi="Times New Roman" w:cs="Times New Roman"/>
        <w:color w:val="595959" w:themeColor="text1" w:themeTint="A6"/>
        <w:sz w:val="16"/>
        <w:szCs w:val="16"/>
      </w:rPr>
      <w:t>www.columbiaedc.com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28AC" w14:textId="77777777" w:rsidR="00DC57A6" w:rsidRDefault="00DC57A6" w:rsidP="00703C74">
      <w:pPr>
        <w:spacing w:after="0" w:line="240" w:lineRule="auto"/>
      </w:pPr>
      <w:r>
        <w:separator/>
      </w:r>
    </w:p>
  </w:footnote>
  <w:footnote w:type="continuationSeparator" w:id="0">
    <w:p w14:paraId="0914C5B0" w14:textId="77777777" w:rsidR="00DC57A6" w:rsidRDefault="00DC57A6" w:rsidP="00703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4E93" w14:textId="37E10AFE" w:rsidR="00703C74" w:rsidRDefault="00703C74">
    <w:pPr>
      <w:pStyle w:val="Header"/>
    </w:pPr>
    <w:r>
      <w:rPr>
        <w:noProof/>
      </w:rPr>
      <w:drawing>
        <wp:inline distT="0" distB="0" distL="0" distR="0" wp14:anchorId="4F6F8837" wp14:editId="04C98CF0">
          <wp:extent cx="2486024" cy="130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oseColumbiaFinalLogo.jpg"/>
                  <pic:cNvPicPr/>
                </pic:nvPicPr>
                <pic:blipFill rotWithShape="1">
                  <a:blip r:embed="rId1" cstate="print">
                    <a:extLst>
                      <a:ext uri="{28A0092B-C50C-407E-A947-70E740481C1C}">
                        <a14:useLocalDpi xmlns:a14="http://schemas.microsoft.com/office/drawing/2010/main" val="0"/>
                      </a:ext>
                    </a:extLst>
                  </a:blip>
                  <a:srcRect l="4396"/>
                  <a:stretch/>
                </pic:blipFill>
                <pic:spPr bwMode="auto">
                  <a:xfrm>
                    <a:off x="0" y="0"/>
                    <a:ext cx="2490663" cy="130258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CD"/>
    <w:rsid w:val="00081455"/>
    <w:rsid w:val="00174098"/>
    <w:rsid w:val="00360847"/>
    <w:rsid w:val="003A2A99"/>
    <w:rsid w:val="004340CC"/>
    <w:rsid w:val="00434ECD"/>
    <w:rsid w:val="00591A1C"/>
    <w:rsid w:val="005D1AC5"/>
    <w:rsid w:val="00703C74"/>
    <w:rsid w:val="00721317"/>
    <w:rsid w:val="007220AA"/>
    <w:rsid w:val="00930E71"/>
    <w:rsid w:val="00994C3D"/>
    <w:rsid w:val="00A447A0"/>
    <w:rsid w:val="00AB37E9"/>
    <w:rsid w:val="00B3459E"/>
    <w:rsid w:val="00B81A14"/>
    <w:rsid w:val="00C53E3A"/>
    <w:rsid w:val="00D40DBF"/>
    <w:rsid w:val="00DC57A6"/>
    <w:rsid w:val="00E245EB"/>
    <w:rsid w:val="00E81236"/>
    <w:rsid w:val="00E83CEC"/>
    <w:rsid w:val="00FC743F"/>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78A8"/>
  <w15:docId w15:val="{86ED7C24-BB9A-42E0-A1E7-5C668BAB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4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ECD"/>
    <w:rPr>
      <w:rFonts w:ascii="Tahoma" w:hAnsi="Tahoma" w:cs="Tahoma"/>
      <w:sz w:val="16"/>
      <w:szCs w:val="16"/>
    </w:rPr>
  </w:style>
  <w:style w:type="paragraph" w:styleId="Header">
    <w:name w:val="header"/>
    <w:basedOn w:val="Normal"/>
    <w:link w:val="HeaderChar"/>
    <w:uiPriority w:val="99"/>
    <w:unhideWhenUsed/>
    <w:rsid w:val="00703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C74"/>
  </w:style>
  <w:style w:type="paragraph" w:styleId="Footer">
    <w:name w:val="footer"/>
    <w:basedOn w:val="Normal"/>
    <w:link w:val="FooterChar"/>
    <w:uiPriority w:val="99"/>
    <w:unhideWhenUsed/>
    <w:rsid w:val="00703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C74"/>
  </w:style>
  <w:style w:type="character" w:styleId="Hyperlink">
    <w:name w:val="Hyperlink"/>
    <w:basedOn w:val="DefaultParagraphFont"/>
    <w:uiPriority w:val="99"/>
    <w:semiHidden/>
    <w:unhideWhenUsed/>
    <w:rsid w:val="00B3459E"/>
    <w:rPr>
      <w:color w:val="0000FF" w:themeColor="hyperlink"/>
      <w:u w:val="single"/>
    </w:rPr>
  </w:style>
  <w:style w:type="paragraph" w:styleId="NormalWeb">
    <w:name w:val="Normal (Web)"/>
    <w:basedOn w:val="Normal"/>
    <w:uiPriority w:val="99"/>
    <w:semiHidden/>
    <w:unhideWhenUsed/>
    <w:rsid w:val="003A2A99"/>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ttern-for-progress.org/wp-content/uploads/2025/07/Out-of-Reach-2025.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CWilber</dc:creator>
  <cp:lastModifiedBy>Mike Tucker</cp:lastModifiedBy>
  <cp:revision>6</cp:revision>
  <cp:lastPrinted>2016-06-22T18:46:00Z</cp:lastPrinted>
  <dcterms:created xsi:type="dcterms:W3CDTF">2019-09-10T20:38:00Z</dcterms:created>
  <dcterms:modified xsi:type="dcterms:W3CDTF">2026-04-29T17:29:00Z</dcterms:modified>
</cp:coreProperties>
</file>